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Pr="000E004A" w:rsidRDefault="00B649DA" w:rsidP="000E004A">
      <w:pPr>
        <w:pStyle w:val="Subttulo"/>
      </w:pPr>
    </w:p>
    <w:p w14:paraId="69F5CFC9" w14:textId="15F0DACE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E473BB">
        <w:rPr>
          <w:rFonts w:ascii="Times New Roman" w:hAnsi="Times New Roman"/>
          <w:b/>
          <w:bCs/>
          <w:sz w:val="28"/>
          <w:szCs w:val="28"/>
          <w:lang w:val="es-ES"/>
        </w:rPr>
        <w:t>4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E473BB">
        <w:rPr>
          <w:rFonts w:ascii="Times New Roman" w:hAnsi="Times New Roman"/>
          <w:b/>
          <w:bCs/>
          <w:sz w:val="28"/>
          <w:szCs w:val="28"/>
          <w:lang w:val="es-ES"/>
        </w:rPr>
        <w:t>7</w:t>
      </w:r>
    </w:p>
    <w:p w14:paraId="16313813" w14:textId="11DBB243" w:rsidR="00B649DA" w:rsidRPr="00E541DE" w:rsidRDefault="00E541DE" w:rsidP="00F64BE9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bookmarkStart w:id="0" w:name="_Hlk102030049"/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="00F64BE9" w:rsidRPr="00E541DE">
        <w:rPr>
          <w:rFonts w:ascii="Times New Roman" w:hAnsi="Times New Roman"/>
          <w:b/>
          <w:bCs/>
          <w:sz w:val="28"/>
          <w:szCs w:val="28"/>
          <w:lang w:val="es-ES"/>
        </w:rPr>
        <w:t>DIRECTOR CATEGORIA I, II O III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bookmarkEnd w:id="0"/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77777777" w:rsidR="00B649DA" w:rsidRPr="00167371" w:rsidRDefault="009D418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6ABB7EBD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6 </w:t>
      </w:r>
      <w:proofErr w:type="gramStart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Tipo</w:t>
      </w:r>
      <w:proofErr w:type="gramEnd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46C22556" w14:textId="77777777" w:rsidR="00C21E6C" w:rsidRDefault="00C21E6C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0B17F950" w14:textId="77777777" w:rsidR="00C21E6C" w:rsidRPr="009D418C" w:rsidRDefault="00C21E6C" w:rsidP="00C21E6C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D418C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9D418C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708063BC" w14:textId="77777777" w:rsidR="009D418C" w:rsidRPr="002A1BED" w:rsidRDefault="009D418C" w:rsidP="009D418C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52BF2C6B" w14:textId="77777777" w:rsidR="00C21E6C" w:rsidRDefault="00C21E6C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2A5C1889" w14:textId="77777777" w:rsidR="00C21E6C" w:rsidRPr="009D418C" w:rsidRDefault="00C21E6C" w:rsidP="00C21E6C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4.4 Publicaciones, conjuntos de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>: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9D418C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9D418C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>/s.)</w:t>
      </w:r>
    </w:p>
    <w:p w14:paraId="0BE34F0B" w14:textId="77777777" w:rsidR="00C21E6C" w:rsidRPr="00167371" w:rsidRDefault="00C21E6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Nacionales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73D0F1E2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702A1FC9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2BDBD00B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26C7D325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473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0F50DBC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473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712AA0A2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473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339B8BBF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473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Terceros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lastRenderedPageBreak/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7CDC08A5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04D38E32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5A41EC50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41AF45CE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026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68548122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2A7F756B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7E0B2CCA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6FDC6EE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520054A6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5DEDE002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63139EEE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58998F6B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B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5F538469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3171266F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0783BC8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65C5BFF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B35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6AD59C4F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61799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1CE26969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58FA4C6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0A38260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B4A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68F64D5B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15CAE638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1924EF61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56EE1D0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F4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386BC3E4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4C5238B8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5FF8286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349A8C9F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2561BDF1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31C09168" w14:textId="439707DE" w:rsidR="00F338A1" w:rsidRDefault="00F338A1">
      <w:pPr>
        <w:spacing w:after="0"/>
        <w:rPr>
          <w:rFonts w:ascii="Times New Roman" w:hAnsi="Times New Roman"/>
          <w:lang w:val="es-ES"/>
        </w:rPr>
      </w:pPr>
    </w:p>
    <w:p w14:paraId="14159543" w14:textId="77777777" w:rsidR="00F338A1" w:rsidRPr="00167371" w:rsidRDefault="00F338A1">
      <w:pPr>
        <w:spacing w:after="0"/>
        <w:rPr>
          <w:rFonts w:ascii="Times New Roman" w:hAnsi="Times New Roman"/>
          <w:lang w:val="es-ES"/>
        </w:rPr>
      </w:pPr>
    </w:p>
    <w:p w14:paraId="078B348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26AA019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F8C8106" w14:textId="31430842" w:rsidR="00B649DA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14:paraId="5C3EA7E2" w14:textId="77777777"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553334">
    <w:abstractNumId w:val="1"/>
  </w:num>
  <w:num w:numId="2" w16cid:durableId="906113394">
    <w:abstractNumId w:val="4"/>
  </w:num>
  <w:num w:numId="3" w16cid:durableId="1488549312">
    <w:abstractNumId w:val="3"/>
  </w:num>
  <w:num w:numId="4" w16cid:durableId="1628852279">
    <w:abstractNumId w:val="0"/>
  </w:num>
  <w:num w:numId="5" w16cid:durableId="178468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04A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44496"/>
    <w:rsid w:val="00547DDC"/>
    <w:rsid w:val="00556285"/>
    <w:rsid w:val="00561799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53E35"/>
    <w:rsid w:val="009636F4"/>
    <w:rsid w:val="00976DE1"/>
    <w:rsid w:val="009C4C80"/>
    <w:rsid w:val="009D418C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21E6C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473BB"/>
    <w:rsid w:val="00E51FED"/>
    <w:rsid w:val="00E541DE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338A1"/>
    <w:rsid w:val="00F42B04"/>
    <w:rsid w:val="00F4588A"/>
    <w:rsid w:val="00F53F95"/>
    <w:rsid w:val="00F64BE9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20</cp:revision>
  <cp:lastPrinted>2019-05-03T15:58:00Z</cp:lastPrinted>
  <dcterms:created xsi:type="dcterms:W3CDTF">2019-05-07T11:31:00Z</dcterms:created>
  <dcterms:modified xsi:type="dcterms:W3CDTF">2023-09-18T14:11:00Z</dcterms:modified>
</cp:coreProperties>
</file>